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02" w:rsidRDefault="009E6B67" w:rsidP="00F46485">
      <w:pPr>
        <w:pStyle w:val="a3"/>
        <w:tabs>
          <w:tab w:val="clear" w:pos="4153"/>
          <w:tab w:val="clear" w:pos="8306"/>
        </w:tabs>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472EC5" w:rsidRPr="0060030B" w:rsidRDefault="00472EC5" w:rsidP="00193A58">
                  <w:pPr>
                    <w:jc w:val="center"/>
                    <w:rPr>
                      <w:rFonts w:cs="Arial"/>
                    </w:rPr>
                  </w:pPr>
                </w:p>
                <w:p w:rsidR="00814110" w:rsidRPr="003A7E02" w:rsidRDefault="00814110" w:rsidP="00472EC5">
                  <w:pPr>
                    <w:jc w:val="center"/>
                    <w:rPr>
                      <w:rFonts w:cs="Arial"/>
                      <w:b/>
                      <w:bCs/>
                      <w:sz w:val="22"/>
                      <w:szCs w:val="22"/>
                      <w:lang w:val="en-US"/>
                    </w:rPr>
                  </w:pPr>
                </w:p>
              </w:txbxContent>
            </v:textbox>
          </v:shape>
        </w:pict>
      </w:r>
      <w:r w:rsidR="002B4604" w:rsidRPr="00F46485">
        <w:rPr>
          <w:rFonts w:cs="Arial"/>
          <w:sz w:val="22"/>
          <w:szCs w:val="22"/>
        </w:rPr>
        <w:t xml:space="preserve">  </w:t>
      </w:r>
      <w:r w:rsidR="0072345E" w:rsidRPr="00F46485">
        <w:rPr>
          <w:rFonts w:cs="Arial"/>
          <w:sz w:val="22"/>
          <w:szCs w:val="22"/>
        </w:rPr>
        <w:t xml:space="preserve">                                                          </w:t>
      </w:r>
    </w:p>
    <w:p w:rsidR="003A7E02" w:rsidRDefault="003A7E02" w:rsidP="00F46485">
      <w:pPr>
        <w:pStyle w:val="a3"/>
        <w:tabs>
          <w:tab w:val="clear" w:pos="4153"/>
          <w:tab w:val="clear" w:pos="8306"/>
        </w:tabs>
        <w:rPr>
          <w:rFonts w:cs="Arial"/>
          <w:sz w:val="22"/>
          <w:szCs w:val="22"/>
        </w:rPr>
      </w:pPr>
    </w:p>
    <w:p w:rsidR="003A7E02" w:rsidRDefault="003A7E02" w:rsidP="00F46485">
      <w:pPr>
        <w:pStyle w:val="a3"/>
        <w:tabs>
          <w:tab w:val="clear" w:pos="4153"/>
          <w:tab w:val="clear" w:pos="8306"/>
        </w:tabs>
        <w:rPr>
          <w:rFonts w:cs="Arial"/>
          <w:sz w:val="22"/>
          <w:szCs w:val="22"/>
        </w:rPr>
      </w:pPr>
    </w:p>
    <w:p w:rsidR="002B4604" w:rsidRPr="00F46485" w:rsidRDefault="0072345E" w:rsidP="00F46485">
      <w:pPr>
        <w:pStyle w:val="a3"/>
        <w:tabs>
          <w:tab w:val="clear" w:pos="4153"/>
          <w:tab w:val="clear" w:pos="8306"/>
        </w:tabs>
        <w:rPr>
          <w:rFonts w:cs="Arial"/>
          <w:sz w:val="22"/>
          <w:szCs w:val="22"/>
        </w:rPr>
      </w:pPr>
      <w:r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B35678"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Αθήνα, </w:t>
      </w:r>
      <w:r w:rsidR="0002036F" w:rsidRPr="00F46485">
        <w:rPr>
          <w:rFonts w:cs="Arial"/>
          <w:sz w:val="22"/>
          <w:szCs w:val="22"/>
        </w:rPr>
        <w:t>…..</w:t>
      </w:r>
      <w:r w:rsidR="0004700B" w:rsidRPr="00F46485">
        <w:rPr>
          <w:rFonts w:cs="Arial"/>
          <w:sz w:val="22"/>
          <w:szCs w:val="22"/>
        </w:rPr>
        <w:t xml:space="preserve"> </w:t>
      </w:r>
      <w:r w:rsidR="00B2789E" w:rsidRPr="00F46485">
        <w:rPr>
          <w:rFonts w:cs="Arial"/>
          <w:sz w:val="22"/>
          <w:szCs w:val="22"/>
        </w:rPr>
        <w:t xml:space="preserve">…………………… </w:t>
      </w:r>
      <w:r w:rsidRPr="00F46485">
        <w:rPr>
          <w:rFonts w:cs="Arial"/>
          <w:sz w:val="22"/>
          <w:szCs w:val="22"/>
        </w:rPr>
        <w:t xml:space="preserve"> </w:t>
      </w:r>
    </w:p>
    <w:p w:rsidR="00472EC5" w:rsidRPr="00122847" w:rsidRDefault="007D17E0" w:rsidP="003A7E02">
      <w:pPr>
        <w:pStyle w:val="a3"/>
        <w:tabs>
          <w:tab w:val="clear" w:pos="4153"/>
          <w:tab w:val="clear" w:pos="8306"/>
        </w:tabs>
        <w:rPr>
          <w:rFonts w:cs="Arial"/>
          <w:bCs/>
          <w:sz w:val="22"/>
          <w:szCs w:val="22"/>
        </w:rPr>
      </w:pPr>
      <w:r w:rsidRPr="00F46485">
        <w:rPr>
          <w:rFonts w:cs="Arial"/>
          <w:sz w:val="22"/>
          <w:szCs w:val="22"/>
        </w:rPr>
        <w:t>Αριθ</w:t>
      </w:r>
      <w:r w:rsidR="005450B6" w:rsidRPr="00F46485">
        <w:rPr>
          <w:rFonts w:cs="Arial"/>
          <w:sz w:val="22"/>
          <w:szCs w:val="22"/>
        </w:rPr>
        <w:t xml:space="preserve">. </w:t>
      </w:r>
      <w:proofErr w:type="spellStart"/>
      <w:r w:rsidR="005450B6" w:rsidRPr="00F46485">
        <w:rPr>
          <w:rFonts w:cs="Arial"/>
          <w:sz w:val="22"/>
          <w:szCs w:val="22"/>
        </w:rPr>
        <w:t>Πρωτ</w:t>
      </w:r>
      <w:proofErr w:type="spellEnd"/>
      <w:r w:rsidR="005450B6" w:rsidRPr="00F46485">
        <w:rPr>
          <w:rFonts w:cs="Arial"/>
          <w:sz w:val="22"/>
          <w:szCs w:val="22"/>
        </w:rPr>
        <w:t xml:space="preserve">.: </w:t>
      </w:r>
    </w:p>
    <w:p w:rsidR="00472EC5" w:rsidRPr="00122847" w:rsidRDefault="00472EC5" w:rsidP="00122847">
      <w:pPr>
        <w:pStyle w:val="a3"/>
        <w:rPr>
          <w:rFonts w:cs="Arial"/>
          <w:bCs/>
          <w:sz w:val="22"/>
          <w:szCs w:val="22"/>
        </w:rPr>
      </w:pPr>
    </w:p>
    <w:p w:rsidR="00472EC5" w:rsidRPr="00122847" w:rsidRDefault="00472EC5" w:rsidP="00122847">
      <w:pPr>
        <w:pStyle w:val="a3"/>
        <w:rPr>
          <w:rFonts w:cs="Arial"/>
          <w:bCs/>
          <w:sz w:val="22"/>
          <w:szCs w:val="22"/>
        </w:rPr>
      </w:pPr>
    </w:p>
    <w:p w:rsidR="00472EC5" w:rsidRPr="00472EC5" w:rsidRDefault="00472EC5" w:rsidP="00472EC5">
      <w:pPr>
        <w:pStyle w:val="a3"/>
        <w:rPr>
          <w:rFonts w:cs="Arial"/>
          <w:b/>
          <w:bCs/>
          <w:sz w:val="22"/>
          <w:szCs w:val="22"/>
        </w:rPr>
      </w:pPr>
    </w:p>
    <w:p w:rsidR="00122847" w:rsidRDefault="00122847" w:rsidP="00472EC5">
      <w:pPr>
        <w:pStyle w:val="a3"/>
        <w:rPr>
          <w:rFonts w:cs="Arial"/>
          <w:b/>
          <w:bCs/>
          <w:sz w:val="22"/>
          <w:szCs w:val="22"/>
        </w:rPr>
      </w:pPr>
    </w:p>
    <w:p w:rsidR="00472EC5" w:rsidRPr="00122847" w:rsidRDefault="00472EC5" w:rsidP="00122847">
      <w:pPr>
        <w:pStyle w:val="a3"/>
        <w:jc w:val="both"/>
        <w:rPr>
          <w:rFonts w:cs="Arial"/>
          <w:sz w:val="22"/>
          <w:szCs w:val="22"/>
        </w:rPr>
      </w:pPr>
      <w:r w:rsidRPr="00122847">
        <w:rPr>
          <w:rFonts w:cs="Arial"/>
          <w:bCs/>
          <w:sz w:val="22"/>
          <w:szCs w:val="22"/>
        </w:rPr>
        <w:t xml:space="preserve">                                      ΠΙΝΑΚΑΣ ΣΥΜΜΟΡΦΩΣΗΣ ΤΕΧΝΙΚΗΣ ΠΡΟΣΦΟΡΑΣ</w:t>
      </w:r>
    </w:p>
    <w:p w:rsidR="00472EC5" w:rsidRPr="003A7E02"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629"/>
        <w:gridCol w:w="1318"/>
        <w:gridCol w:w="1416"/>
        <w:gridCol w:w="1920"/>
      </w:tblGrid>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Α/Α</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ΠΕΡΙΓΡΑΦΗ</w:t>
            </w: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ΑΠΑΙΤΗΣΗ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ΑΠΑΝΤΗΣΗ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ΠΑΡΑΠΟΜΠΗ/ ΠΑΡΑΤΗΡΗΣΕΙΣ</w:t>
            </w:r>
          </w:p>
        </w:tc>
      </w:tr>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1</w:t>
            </w:r>
          </w:p>
        </w:tc>
        <w:tc>
          <w:tcPr>
            <w:tcW w:w="0" w:type="auto"/>
            <w:shd w:val="clear" w:color="auto" w:fill="auto"/>
            <w:vAlign w:val="center"/>
          </w:tcPr>
          <w:p w:rsidR="00122847" w:rsidRPr="00122847" w:rsidRDefault="00122847" w:rsidP="00122847">
            <w:pPr>
              <w:pStyle w:val="a3"/>
              <w:jc w:val="both"/>
              <w:rPr>
                <w:rFonts w:cs="Arial"/>
                <w:bCs/>
                <w:sz w:val="22"/>
                <w:szCs w:val="22"/>
              </w:rPr>
            </w:pPr>
            <w:r w:rsidRPr="00122847">
              <w:rPr>
                <w:rFonts w:cs="Arial"/>
                <w:bCs/>
                <w:sz w:val="22"/>
                <w:szCs w:val="22"/>
              </w:rPr>
              <w:t>ΤΕΧΝΙΚΕΣ ΠΡΟΔΙΑΓΡΑΦΕΣ ΠΡΟΜΗΘΕΙΑΣ ΔΟΣΙΜΕΤΡΩΝ ΠΡΟΣΩΠΙΚΟΥ ΚΑΙ ΥΠΗΡΕΣΙΩΝ ΔΟΣΙΜΕΤΡΗΣΗΣ ΠΡΟΣΩΠΙΚΟΥ</w:t>
            </w: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Όλοι οι φορείς/εργαστήρια που συμμετέχουν στον Διαγωνισμό θα πρέπει:</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παρέχουν «υπηρεσίες </w:t>
            </w:r>
            <w:proofErr w:type="spellStart"/>
            <w:r w:rsidRPr="00122847">
              <w:rPr>
                <w:rFonts w:cs="Arial"/>
                <w:bCs/>
                <w:sz w:val="22"/>
                <w:szCs w:val="22"/>
              </w:rPr>
              <w:t>δοσιμετρίας</w:t>
            </w:r>
            <w:proofErr w:type="spellEnd"/>
            <w:r w:rsidRPr="00122847">
              <w:rPr>
                <w:rFonts w:cs="Arial"/>
                <w:bCs/>
                <w:sz w:val="22"/>
                <w:szCs w:val="22"/>
              </w:rPr>
              <w:t>» κατά την έννοια του στοιχείου 100 του άρθρου 4 και του άρθρου 81 του ΠΔ 101 (ΦΕΚ 194/Α/20-11-2018), γεγονός που αποδεικνύεται από τη σχετική εξουσιοδότηση από την Ελληνική Επιτροπή Ατομικής Ενέργειας, την οποία πρέπει να διαθέτουν.</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Να διαθέτουν τις απαραίτητες φυσικές εγκαταστάσεις και επαρκή και κατάλληλο εξοπλισμό για την παροχή υπηρεσίας ατομικής παρακολούθησης των εκτιθέμενων εργαζομένων σε εξωτερική ακτινοβόληση για τα είδη ακτινοβολιών, το ενεργειακό εύρος τους και το εύρος των ρυθμών δόσης στις οποίες δύναται να βρεθούν οι εκτιθέμενοι εργαζόμενοι του Νοσοκομείου.</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διαθέτουν κατάλληλες συσκευές ατομικής </w:t>
            </w:r>
            <w:proofErr w:type="spellStart"/>
            <w:r w:rsidRPr="00122847">
              <w:rPr>
                <w:rFonts w:cs="Arial"/>
                <w:bCs/>
                <w:sz w:val="22"/>
                <w:szCs w:val="22"/>
              </w:rPr>
              <w:t>δοσιμέτρησης</w:t>
            </w:r>
            <w:proofErr w:type="spellEnd"/>
            <w:r w:rsidRPr="00122847">
              <w:rPr>
                <w:rFonts w:cs="Arial"/>
                <w:bCs/>
                <w:sz w:val="22"/>
                <w:szCs w:val="22"/>
              </w:rPr>
              <w:t xml:space="preserve"> (</w:t>
            </w:r>
            <w:proofErr w:type="spellStart"/>
            <w:r w:rsidRPr="00122847">
              <w:rPr>
                <w:rFonts w:cs="Arial"/>
                <w:bCs/>
                <w:sz w:val="22"/>
                <w:szCs w:val="22"/>
              </w:rPr>
              <w:t>δοσίμετρα</w:t>
            </w:r>
            <w:proofErr w:type="spellEnd"/>
            <w:r w:rsidRPr="00122847">
              <w:rPr>
                <w:rFonts w:cs="Arial"/>
                <w:bCs/>
                <w:sz w:val="22"/>
                <w:szCs w:val="22"/>
              </w:rPr>
              <w:t>) σώματος για την μέτρηση των ακόλουθων λειτουργικών μεγεθών:</w:t>
            </w:r>
          </w:p>
          <w:p w:rsidR="00122847" w:rsidRPr="00122847" w:rsidRDefault="00122847" w:rsidP="00122847">
            <w:pPr>
              <w:pStyle w:val="a3"/>
              <w:numPr>
                <w:ilvl w:val="1"/>
                <w:numId w:val="24"/>
              </w:numPr>
              <w:jc w:val="both"/>
              <w:rPr>
                <w:rFonts w:cs="Arial"/>
                <w:bCs/>
                <w:sz w:val="22"/>
                <w:szCs w:val="22"/>
              </w:rPr>
            </w:pPr>
            <w:proofErr w:type="spellStart"/>
            <w:r w:rsidRPr="00122847">
              <w:rPr>
                <w:rFonts w:cs="Arial"/>
                <w:bCs/>
                <w:sz w:val="22"/>
                <w:szCs w:val="22"/>
              </w:rPr>
              <w:t>Δοσίμετρα</w:t>
            </w:r>
            <w:proofErr w:type="spellEnd"/>
            <w:r w:rsidRPr="00122847">
              <w:rPr>
                <w:rFonts w:cs="Arial"/>
                <w:bCs/>
                <w:sz w:val="22"/>
                <w:szCs w:val="22"/>
              </w:rPr>
              <w:t xml:space="preserve"> σώματος:  του ατομικού ισοδύναμου δόσης βάθους 10 χιλιοστών, </w:t>
            </w:r>
            <w:proofErr w:type="spellStart"/>
            <w:r w:rsidRPr="00122847">
              <w:rPr>
                <w:rFonts w:cs="Arial"/>
                <w:bCs/>
                <w:sz w:val="22"/>
                <w:szCs w:val="22"/>
              </w:rPr>
              <w:t>Hp</w:t>
            </w:r>
            <w:proofErr w:type="spellEnd"/>
            <w:r w:rsidRPr="00122847">
              <w:rPr>
                <w:rFonts w:cs="Arial"/>
                <w:bCs/>
                <w:sz w:val="22"/>
                <w:szCs w:val="22"/>
              </w:rPr>
              <w:t xml:space="preserve">(10) και του ατομικού ισοδύναμου δόσης βάθους 0,07 χιλιοστών, </w:t>
            </w:r>
            <w:proofErr w:type="spellStart"/>
            <w:r w:rsidRPr="00122847">
              <w:rPr>
                <w:rFonts w:cs="Arial"/>
                <w:bCs/>
                <w:sz w:val="22"/>
                <w:szCs w:val="22"/>
              </w:rPr>
              <w:lastRenderedPageBreak/>
              <w:t>Hp</w:t>
            </w:r>
            <w:proofErr w:type="spellEnd"/>
            <w:r w:rsidRPr="00122847">
              <w:rPr>
                <w:rFonts w:cs="Arial"/>
                <w:bCs/>
                <w:sz w:val="22"/>
                <w:szCs w:val="22"/>
              </w:rPr>
              <w:t>(0.07),</w:t>
            </w:r>
          </w:p>
          <w:p w:rsidR="00122847" w:rsidRPr="00122847" w:rsidRDefault="00122847" w:rsidP="00122847">
            <w:pPr>
              <w:pStyle w:val="a3"/>
              <w:jc w:val="both"/>
              <w:rPr>
                <w:rFonts w:cs="Arial"/>
                <w:bCs/>
                <w:sz w:val="22"/>
                <w:szCs w:val="22"/>
              </w:rPr>
            </w:pPr>
            <w:r w:rsidRPr="00122847">
              <w:rPr>
                <w:rFonts w:cs="Arial"/>
                <w:bCs/>
                <w:sz w:val="22"/>
                <w:szCs w:val="22"/>
              </w:rPr>
              <w:t xml:space="preserve">και την εκτίμηση της ενεργού δόσης, Ε, σε </w:t>
            </w:r>
            <w:proofErr w:type="spellStart"/>
            <w:r w:rsidRPr="00122847">
              <w:rPr>
                <w:rFonts w:cs="Arial"/>
                <w:bCs/>
                <w:sz w:val="22"/>
                <w:szCs w:val="22"/>
              </w:rPr>
              <w:t>mSv</w:t>
            </w:r>
            <w:proofErr w:type="spellEnd"/>
            <w:r w:rsidRPr="00122847">
              <w:rPr>
                <w:rFonts w:cs="Arial"/>
                <w:bCs/>
                <w:sz w:val="22"/>
                <w:szCs w:val="22"/>
              </w:rPr>
              <w:t>.</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είναι διαπιστευμένοι σύμφωνα με τις απαιτήσεις του προτύπου ISO/IEC 17025 «Γενικές απαιτήσεις για την ικανότητα των εργαστηρίων δοκιμών και διακριβώσεων» ή ισοδύναμου. Η διαπίστευση να αφορά την μέτρηση ατομικών </w:t>
            </w:r>
            <w:proofErr w:type="spellStart"/>
            <w:r w:rsidRPr="00122847">
              <w:rPr>
                <w:rFonts w:cs="Arial"/>
                <w:bCs/>
                <w:sz w:val="22"/>
                <w:szCs w:val="22"/>
              </w:rPr>
              <w:t>δοσιμέτρων</w:t>
            </w:r>
            <w:proofErr w:type="spellEnd"/>
            <w:r w:rsidRPr="00122847">
              <w:rPr>
                <w:rFonts w:cs="Arial"/>
                <w:bCs/>
                <w:sz w:val="22"/>
                <w:szCs w:val="22"/>
              </w:rPr>
              <w:t xml:space="preserve"> όπως αυτά περιγράφονται στην παρούσα διακήρυξη. </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διαθέτουν </w:t>
            </w:r>
            <w:proofErr w:type="spellStart"/>
            <w:r w:rsidRPr="00122847">
              <w:rPr>
                <w:rFonts w:cs="Arial"/>
                <w:bCs/>
                <w:sz w:val="22"/>
                <w:szCs w:val="22"/>
              </w:rPr>
              <w:t>ιχνηλασιμότητα</w:t>
            </w:r>
            <w:proofErr w:type="spellEnd"/>
            <w:r w:rsidRPr="00122847">
              <w:rPr>
                <w:rFonts w:cs="Arial"/>
                <w:bCs/>
                <w:sz w:val="22"/>
                <w:szCs w:val="22"/>
              </w:rPr>
              <w:t xml:space="preserve"> των δοκιμών (μετρήσεων) που πραγματοποιούν, στο Εθνικό Ινστιτούτο Μετρολογίας μέσω βαθμονόμησης, σε τουλάχιστον </w:t>
            </w:r>
            <w:proofErr w:type="spellStart"/>
            <w:r w:rsidRPr="00122847">
              <w:rPr>
                <w:rFonts w:cs="Arial"/>
                <w:bCs/>
                <w:sz w:val="22"/>
                <w:szCs w:val="22"/>
              </w:rPr>
              <w:t>υποπρότυπο</w:t>
            </w:r>
            <w:proofErr w:type="spellEnd"/>
            <w:r w:rsidRPr="00122847">
              <w:rPr>
                <w:rFonts w:cs="Arial"/>
                <w:bCs/>
                <w:sz w:val="22"/>
                <w:szCs w:val="22"/>
              </w:rPr>
              <w:t xml:space="preserve"> εργαστήριο βαθμονόμησης (SSDL).</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Για τον υπολογισμό και την ανακοίνωση της αβεβαιότητας των μετρήσεων να χρησιμοποιούν μεθοδολογία ευρέως αποδεκτή σε ευρωπαϊκό και διεθνές επίπεδο και ιδίως των προτύπων </w:t>
            </w:r>
            <w:r w:rsidRPr="00122847">
              <w:rPr>
                <w:rFonts w:cs="Arial"/>
                <w:bCs/>
                <w:sz w:val="22"/>
                <w:szCs w:val="22"/>
                <w:lang w:val="en-US"/>
              </w:rPr>
              <w:t>Guide</w:t>
            </w:r>
            <w:r w:rsidRPr="00122847">
              <w:rPr>
                <w:rFonts w:cs="Arial"/>
                <w:bCs/>
                <w:sz w:val="22"/>
                <w:szCs w:val="22"/>
              </w:rPr>
              <w:t xml:space="preserve"> </w:t>
            </w:r>
            <w:r w:rsidRPr="00122847">
              <w:rPr>
                <w:rFonts w:cs="Arial"/>
                <w:bCs/>
                <w:sz w:val="22"/>
                <w:szCs w:val="22"/>
                <w:lang w:val="en-US"/>
              </w:rPr>
              <w:t>to</w:t>
            </w:r>
            <w:r w:rsidRPr="00122847">
              <w:rPr>
                <w:rFonts w:cs="Arial"/>
                <w:bCs/>
                <w:sz w:val="22"/>
                <w:szCs w:val="22"/>
              </w:rPr>
              <w:t xml:space="preserve"> </w:t>
            </w:r>
            <w:r w:rsidRPr="00122847">
              <w:rPr>
                <w:rFonts w:cs="Arial"/>
                <w:bCs/>
                <w:sz w:val="22"/>
                <w:szCs w:val="22"/>
                <w:lang w:val="en-US"/>
              </w:rPr>
              <w:t>the</w:t>
            </w:r>
            <w:r w:rsidRPr="00122847">
              <w:rPr>
                <w:rFonts w:cs="Arial"/>
                <w:bCs/>
                <w:sz w:val="22"/>
                <w:szCs w:val="22"/>
              </w:rPr>
              <w:t xml:space="preserve"> </w:t>
            </w:r>
            <w:r w:rsidRPr="00122847">
              <w:rPr>
                <w:rFonts w:cs="Arial"/>
                <w:bCs/>
                <w:sz w:val="22"/>
                <w:szCs w:val="22"/>
                <w:lang w:val="en-US"/>
              </w:rPr>
              <w:t>expression</w:t>
            </w:r>
            <w:r w:rsidRPr="00122847">
              <w:rPr>
                <w:rFonts w:cs="Arial"/>
                <w:bCs/>
                <w:sz w:val="22"/>
                <w:szCs w:val="22"/>
              </w:rPr>
              <w:t xml:space="preserve"> </w:t>
            </w:r>
            <w:r w:rsidRPr="00122847">
              <w:rPr>
                <w:rFonts w:cs="Arial"/>
                <w:bCs/>
                <w:sz w:val="22"/>
                <w:szCs w:val="22"/>
                <w:lang w:val="en-US"/>
              </w:rPr>
              <w:t>of</w:t>
            </w:r>
            <w:r w:rsidRPr="00122847">
              <w:rPr>
                <w:rFonts w:cs="Arial"/>
                <w:bCs/>
                <w:sz w:val="22"/>
                <w:szCs w:val="22"/>
              </w:rPr>
              <w:t xml:space="preserve"> </w:t>
            </w:r>
            <w:r w:rsidRPr="00122847">
              <w:rPr>
                <w:rFonts w:cs="Arial"/>
                <w:bCs/>
                <w:sz w:val="22"/>
                <w:szCs w:val="22"/>
                <w:lang w:val="en-US"/>
              </w:rPr>
              <w:t>uncertainty</w:t>
            </w:r>
            <w:r w:rsidRPr="00122847">
              <w:rPr>
                <w:rFonts w:cs="Arial"/>
                <w:bCs/>
                <w:sz w:val="22"/>
                <w:szCs w:val="22"/>
              </w:rPr>
              <w:t xml:space="preserve"> </w:t>
            </w:r>
            <w:r w:rsidRPr="00122847">
              <w:rPr>
                <w:rFonts w:cs="Arial"/>
                <w:bCs/>
                <w:sz w:val="22"/>
                <w:szCs w:val="22"/>
                <w:lang w:val="en-US"/>
              </w:rPr>
              <w:t>in</w:t>
            </w:r>
            <w:r w:rsidRPr="00122847">
              <w:rPr>
                <w:rFonts w:cs="Arial"/>
                <w:bCs/>
                <w:sz w:val="22"/>
                <w:szCs w:val="22"/>
              </w:rPr>
              <w:t xml:space="preserve"> </w:t>
            </w:r>
            <w:r w:rsidRPr="00122847">
              <w:rPr>
                <w:rFonts w:cs="Arial"/>
                <w:bCs/>
                <w:sz w:val="22"/>
                <w:szCs w:val="22"/>
                <w:lang w:val="en-US"/>
              </w:rPr>
              <w:t>measurement</w:t>
            </w:r>
            <w:r w:rsidRPr="00122847">
              <w:rPr>
                <w:rFonts w:cs="Arial"/>
                <w:bCs/>
                <w:sz w:val="22"/>
                <w:szCs w:val="22"/>
              </w:rPr>
              <w:t xml:space="preserve"> (</w:t>
            </w:r>
            <w:r w:rsidRPr="00122847">
              <w:rPr>
                <w:rFonts w:cs="Arial"/>
                <w:bCs/>
                <w:sz w:val="22"/>
                <w:szCs w:val="22"/>
                <w:lang w:val="en-US"/>
              </w:rPr>
              <w:t>JCGM</w:t>
            </w:r>
            <w:r w:rsidRPr="00122847">
              <w:rPr>
                <w:rFonts w:cs="Arial"/>
                <w:bCs/>
                <w:sz w:val="22"/>
                <w:szCs w:val="22"/>
              </w:rPr>
              <w:t xml:space="preserve"> 100:2008) και </w:t>
            </w:r>
            <w:r w:rsidRPr="00122847">
              <w:rPr>
                <w:rFonts w:cs="Arial"/>
                <w:bCs/>
                <w:sz w:val="22"/>
                <w:szCs w:val="22"/>
                <w:lang w:val="en-US"/>
              </w:rPr>
              <w:t>IEC</w:t>
            </w:r>
            <w:r w:rsidRPr="00122847">
              <w:rPr>
                <w:rFonts w:cs="Arial"/>
                <w:bCs/>
                <w:sz w:val="22"/>
                <w:szCs w:val="22"/>
              </w:rPr>
              <w:t xml:space="preserve"> </w:t>
            </w:r>
            <w:r w:rsidRPr="00122847">
              <w:rPr>
                <w:rFonts w:cs="Arial"/>
                <w:bCs/>
                <w:sz w:val="22"/>
                <w:szCs w:val="22"/>
                <w:lang w:val="en-US"/>
              </w:rPr>
              <w:t>TR</w:t>
            </w:r>
            <w:r w:rsidRPr="00122847">
              <w:rPr>
                <w:rFonts w:cs="Arial"/>
                <w:bCs/>
                <w:sz w:val="22"/>
                <w:szCs w:val="22"/>
              </w:rPr>
              <w:t xml:space="preserve"> 62461- </w:t>
            </w:r>
            <w:r w:rsidRPr="00122847">
              <w:rPr>
                <w:rFonts w:cs="Arial"/>
                <w:bCs/>
                <w:sz w:val="22"/>
                <w:szCs w:val="22"/>
                <w:lang w:val="en-US"/>
              </w:rPr>
              <w:t>Radiation</w:t>
            </w:r>
            <w:r w:rsidRPr="00122847">
              <w:rPr>
                <w:rFonts w:cs="Arial"/>
                <w:bCs/>
                <w:sz w:val="22"/>
                <w:szCs w:val="22"/>
              </w:rPr>
              <w:t xml:space="preserve"> </w:t>
            </w:r>
            <w:r w:rsidRPr="00122847">
              <w:rPr>
                <w:rFonts w:cs="Arial"/>
                <w:bCs/>
                <w:sz w:val="22"/>
                <w:szCs w:val="22"/>
                <w:lang w:val="en-US"/>
              </w:rPr>
              <w:t>protection</w:t>
            </w:r>
            <w:r w:rsidRPr="00122847">
              <w:rPr>
                <w:rFonts w:cs="Arial"/>
                <w:bCs/>
                <w:sz w:val="22"/>
                <w:szCs w:val="22"/>
              </w:rPr>
              <w:t xml:space="preserve"> </w:t>
            </w:r>
            <w:r w:rsidRPr="00122847">
              <w:rPr>
                <w:rFonts w:cs="Arial"/>
                <w:bCs/>
                <w:sz w:val="22"/>
                <w:szCs w:val="22"/>
                <w:lang w:val="en-US"/>
              </w:rPr>
              <w:t>instrumentation</w:t>
            </w:r>
            <w:r w:rsidRPr="00122847">
              <w:rPr>
                <w:rFonts w:cs="Arial"/>
                <w:bCs/>
                <w:sz w:val="22"/>
                <w:szCs w:val="22"/>
              </w:rPr>
              <w:t xml:space="preserve"> - </w:t>
            </w:r>
            <w:r w:rsidRPr="00122847">
              <w:rPr>
                <w:rFonts w:cs="Arial"/>
                <w:bCs/>
                <w:sz w:val="22"/>
                <w:szCs w:val="22"/>
                <w:lang w:val="en-US"/>
              </w:rPr>
              <w:t>Determination</w:t>
            </w:r>
            <w:r w:rsidRPr="00122847">
              <w:rPr>
                <w:rFonts w:cs="Arial"/>
                <w:bCs/>
                <w:sz w:val="22"/>
                <w:szCs w:val="22"/>
              </w:rPr>
              <w:t xml:space="preserve"> </w:t>
            </w:r>
            <w:r w:rsidRPr="00122847">
              <w:rPr>
                <w:rFonts w:cs="Arial"/>
                <w:bCs/>
                <w:sz w:val="22"/>
                <w:szCs w:val="22"/>
                <w:lang w:val="en-US"/>
              </w:rPr>
              <w:t>of</w:t>
            </w:r>
            <w:r w:rsidRPr="00122847">
              <w:rPr>
                <w:rFonts w:cs="Arial"/>
                <w:bCs/>
                <w:sz w:val="22"/>
                <w:szCs w:val="22"/>
              </w:rPr>
              <w:t xml:space="preserve"> </w:t>
            </w:r>
            <w:r w:rsidRPr="00122847">
              <w:rPr>
                <w:rFonts w:cs="Arial"/>
                <w:bCs/>
                <w:sz w:val="22"/>
                <w:szCs w:val="22"/>
                <w:lang w:val="en-US"/>
              </w:rPr>
              <w:t>uncertainty</w:t>
            </w:r>
            <w:r w:rsidRPr="00122847">
              <w:rPr>
                <w:rFonts w:cs="Arial"/>
                <w:bCs/>
                <w:sz w:val="22"/>
                <w:szCs w:val="22"/>
              </w:rPr>
              <w:t xml:space="preserve"> </w:t>
            </w:r>
            <w:r w:rsidRPr="00122847">
              <w:rPr>
                <w:rFonts w:cs="Arial"/>
                <w:bCs/>
                <w:sz w:val="22"/>
                <w:szCs w:val="22"/>
                <w:lang w:val="en-US"/>
              </w:rPr>
              <w:t>in</w:t>
            </w:r>
            <w:r w:rsidRPr="00122847">
              <w:rPr>
                <w:rFonts w:cs="Arial"/>
                <w:bCs/>
                <w:sz w:val="22"/>
                <w:szCs w:val="22"/>
              </w:rPr>
              <w:t xml:space="preserve"> </w:t>
            </w:r>
            <w:r w:rsidRPr="00122847">
              <w:rPr>
                <w:rFonts w:cs="Arial"/>
                <w:bCs/>
                <w:sz w:val="22"/>
                <w:szCs w:val="22"/>
                <w:lang w:val="en-US"/>
              </w:rPr>
              <w:t>measurement</w:t>
            </w:r>
            <w:r w:rsidRPr="00122847">
              <w:rPr>
                <w:rFonts w:cs="Arial"/>
                <w:bCs/>
                <w:sz w:val="22"/>
                <w:szCs w:val="22"/>
              </w:rPr>
              <w:t xml:space="preserve">). </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αποστέλλουν σε μηνιαία βάση ατομικά </w:t>
            </w:r>
            <w:proofErr w:type="spellStart"/>
            <w:r w:rsidRPr="00122847">
              <w:rPr>
                <w:rFonts w:cs="Arial"/>
                <w:bCs/>
                <w:sz w:val="22"/>
                <w:szCs w:val="22"/>
              </w:rPr>
              <w:t>δοσίμετρα</w:t>
            </w:r>
            <w:proofErr w:type="spellEnd"/>
            <w:r w:rsidRPr="00122847">
              <w:rPr>
                <w:rFonts w:cs="Arial"/>
                <w:bCs/>
                <w:sz w:val="22"/>
                <w:szCs w:val="22"/>
              </w:rPr>
              <w:t xml:space="preserve"> κατάλληλου τύπου στο Νοσοκομείο. Εξαίρεση μπορεί να αποτελεί η περίοδος Ιουλίου-Αυγούστου κατά την οποία θα γίνεται χρήση των </w:t>
            </w:r>
            <w:proofErr w:type="spellStart"/>
            <w:r w:rsidRPr="00122847">
              <w:rPr>
                <w:rFonts w:cs="Arial"/>
                <w:bCs/>
                <w:sz w:val="22"/>
                <w:szCs w:val="22"/>
              </w:rPr>
              <w:t>δοσιμέτρων</w:t>
            </w:r>
            <w:proofErr w:type="spellEnd"/>
            <w:r w:rsidRPr="00122847">
              <w:rPr>
                <w:rFonts w:cs="Arial"/>
                <w:bCs/>
                <w:sz w:val="22"/>
                <w:szCs w:val="22"/>
              </w:rPr>
              <w:t xml:space="preserve"> επί δίμηνο.</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δεσμεύονται ότι, εφόσον τα ατομικά </w:t>
            </w:r>
            <w:proofErr w:type="spellStart"/>
            <w:r w:rsidRPr="00122847">
              <w:rPr>
                <w:rFonts w:cs="Arial"/>
                <w:bCs/>
                <w:sz w:val="22"/>
                <w:szCs w:val="22"/>
              </w:rPr>
              <w:t>δοσίμετρα</w:t>
            </w:r>
            <w:proofErr w:type="spellEnd"/>
            <w:r w:rsidRPr="00122847">
              <w:rPr>
                <w:rFonts w:cs="Arial"/>
                <w:bCs/>
                <w:sz w:val="22"/>
                <w:szCs w:val="22"/>
              </w:rPr>
              <w:t xml:space="preserve"> δεν επιστραφούν έγκαιρα, θα είναι σε θέση να μετρήσουν με ικανοποιητική ακρίβεια την καταγραφείσα δόση και μάλιστα σε βάθος χρόνου τουλάχιστον τριών (3) μηνών από την ημερομηνία αποστολής των </w:t>
            </w:r>
            <w:proofErr w:type="spellStart"/>
            <w:r w:rsidRPr="00122847">
              <w:rPr>
                <w:rFonts w:cs="Arial"/>
                <w:bCs/>
                <w:sz w:val="22"/>
                <w:szCs w:val="22"/>
              </w:rPr>
              <w:t>δοσιμέτρων</w:t>
            </w:r>
            <w:proofErr w:type="spellEnd"/>
            <w:r w:rsidRPr="00122847">
              <w:rPr>
                <w:rFonts w:cs="Arial"/>
                <w:bCs/>
                <w:sz w:val="22"/>
                <w:szCs w:val="22"/>
              </w:rPr>
              <w:t xml:space="preserve"> στο Νοσοκομείο.</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δεσμεύονται ότι ο χρόνος μη επιστροφής ενός </w:t>
            </w:r>
            <w:proofErr w:type="spellStart"/>
            <w:r w:rsidRPr="00122847">
              <w:rPr>
                <w:rFonts w:cs="Arial"/>
                <w:bCs/>
                <w:sz w:val="22"/>
                <w:szCs w:val="22"/>
              </w:rPr>
              <w:t>δοσιμέτρου</w:t>
            </w:r>
            <w:proofErr w:type="spellEnd"/>
            <w:r w:rsidRPr="00122847">
              <w:rPr>
                <w:rFonts w:cs="Arial"/>
                <w:bCs/>
                <w:sz w:val="22"/>
                <w:szCs w:val="22"/>
              </w:rPr>
              <w:t xml:space="preserve">, μετά την παρέλευση του οποίου </w:t>
            </w:r>
            <w:r w:rsidRPr="00122847">
              <w:rPr>
                <w:rFonts w:cs="Arial"/>
                <w:bCs/>
                <w:sz w:val="22"/>
                <w:szCs w:val="22"/>
              </w:rPr>
              <w:lastRenderedPageBreak/>
              <w:t xml:space="preserve">το </w:t>
            </w:r>
            <w:proofErr w:type="spellStart"/>
            <w:r w:rsidRPr="00122847">
              <w:rPr>
                <w:rFonts w:cs="Arial"/>
                <w:bCs/>
                <w:sz w:val="22"/>
                <w:szCs w:val="22"/>
              </w:rPr>
              <w:t>δοσίμετρο</w:t>
            </w:r>
            <w:proofErr w:type="spellEnd"/>
            <w:r w:rsidRPr="00122847">
              <w:rPr>
                <w:rFonts w:cs="Arial"/>
                <w:bCs/>
                <w:sz w:val="22"/>
                <w:szCs w:val="22"/>
              </w:rPr>
              <w:t xml:space="preserve"> θα θεωρείται </w:t>
            </w:r>
            <w:proofErr w:type="spellStart"/>
            <w:r w:rsidRPr="00122847">
              <w:rPr>
                <w:rFonts w:cs="Arial"/>
                <w:bCs/>
                <w:sz w:val="22"/>
                <w:szCs w:val="22"/>
              </w:rPr>
              <w:t>απωλεσθέν</w:t>
            </w:r>
            <w:proofErr w:type="spellEnd"/>
            <w:r w:rsidRPr="00122847">
              <w:rPr>
                <w:rFonts w:cs="Arial"/>
                <w:bCs/>
                <w:sz w:val="22"/>
                <w:szCs w:val="22"/>
              </w:rPr>
              <w:t xml:space="preserve"> και η αξία του θα χρεώνεται, δεν θα είναι μικρότερος από τρεις (3) μήνες από την ημερομηνία αποστολής των </w:t>
            </w:r>
            <w:proofErr w:type="spellStart"/>
            <w:r w:rsidRPr="00122847">
              <w:rPr>
                <w:rFonts w:cs="Arial"/>
                <w:bCs/>
                <w:sz w:val="22"/>
                <w:szCs w:val="22"/>
              </w:rPr>
              <w:t>δοσιμέτρων</w:t>
            </w:r>
            <w:proofErr w:type="spellEnd"/>
            <w:r w:rsidRPr="00122847">
              <w:rPr>
                <w:rFonts w:cs="Arial"/>
                <w:bCs/>
                <w:sz w:val="22"/>
                <w:szCs w:val="22"/>
              </w:rPr>
              <w:t xml:space="preserve"> στο Νοσοκομείο.</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ανακοινώνουν στον επόπτη ακτινοπροστασίας του Νοσοκομείου τα αποτελέσματα της ατομικής παρακολούθησης εντός 30 ημερολογιακών ημερών από την παραλαβή των ατομικών </w:t>
            </w:r>
            <w:proofErr w:type="spellStart"/>
            <w:r w:rsidRPr="00122847">
              <w:rPr>
                <w:rFonts w:cs="Arial"/>
                <w:bCs/>
                <w:sz w:val="22"/>
                <w:szCs w:val="22"/>
              </w:rPr>
              <w:t>δοσιμέτρων</w:t>
            </w:r>
            <w:proofErr w:type="spellEnd"/>
            <w:r w:rsidRPr="00122847">
              <w:rPr>
                <w:rFonts w:cs="Arial"/>
                <w:bCs/>
                <w:sz w:val="22"/>
                <w:szCs w:val="22"/>
              </w:rPr>
              <w:t>.</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Να καταχωρούν τα αποτελέσματα στο Εθνικό Αρχείο Δόσεων σύμφωνα με τις απαιτήσεις της αρμόδιας ρυθμιστικής αρχής.</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παρέχουν, εφόσον ζητηθεί από το Νοσοκομείο, συμβουλές στους εκτιθέμενους εργαζόμενους σχετικά με τον κατάλληλο χειρισμό, την αποθήκευση και χρήση των ατομικών </w:t>
            </w:r>
            <w:proofErr w:type="spellStart"/>
            <w:r w:rsidRPr="00122847">
              <w:rPr>
                <w:rFonts w:cs="Arial"/>
                <w:bCs/>
                <w:sz w:val="22"/>
                <w:szCs w:val="22"/>
              </w:rPr>
              <w:t>δοσιμέτρων</w:t>
            </w:r>
            <w:proofErr w:type="spellEnd"/>
            <w:r w:rsidRPr="00122847">
              <w:rPr>
                <w:rFonts w:cs="Arial"/>
                <w:bCs/>
                <w:sz w:val="22"/>
                <w:szCs w:val="22"/>
              </w:rPr>
              <w:t xml:space="preserve"> και κάθε άλλη πληροφορία που απαιτείται για να εξασφαλιστεί ότι τα εν λόγω </w:t>
            </w:r>
            <w:proofErr w:type="spellStart"/>
            <w:r w:rsidRPr="00122847">
              <w:rPr>
                <w:rFonts w:cs="Arial"/>
                <w:bCs/>
                <w:sz w:val="22"/>
                <w:szCs w:val="22"/>
              </w:rPr>
              <w:t>δοσίμετρα</w:t>
            </w:r>
            <w:proofErr w:type="spellEnd"/>
            <w:r w:rsidRPr="00122847">
              <w:rPr>
                <w:rFonts w:cs="Arial"/>
                <w:bCs/>
                <w:sz w:val="22"/>
                <w:szCs w:val="22"/>
              </w:rPr>
              <w:t xml:space="preserve"> χρησιμοποιούνται σωστά.</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Να δεσμεύονται ότι σε περίπτωση ατυχήματος ή σε κατάσταση έκτακτης ανάγκης θα είναι σε θέση να εκτιμήσουν τη δόση εντός μικρού χρονικού διαστήματος (όχι πάνω από 12 ώρες) από την άφιξη των </w:t>
            </w:r>
            <w:proofErr w:type="spellStart"/>
            <w:r w:rsidRPr="00122847">
              <w:rPr>
                <w:rFonts w:cs="Arial"/>
                <w:bCs/>
                <w:sz w:val="22"/>
                <w:szCs w:val="22"/>
              </w:rPr>
              <w:t>δοσιμέτρων</w:t>
            </w:r>
            <w:proofErr w:type="spellEnd"/>
            <w:r w:rsidRPr="00122847">
              <w:rPr>
                <w:rFonts w:cs="Arial"/>
                <w:bCs/>
                <w:sz w:val="22"/>
                <w:szCs w:val="22"/>
              </w:rPr>
              <w:t xml:space="preserve"> στους χώρους του.</w:t>
            </w: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 xml:space="preserve">Κάθε ατομικό </w:t>
            </w:r>
            <w:proofErr w:type="spellStart"/>
            <w:r w:rsidRPr="00122847">
              <w:rPr>
                <w:rFonts w:cs="Arial"/>
                <w:bCs/>
                <w:sz w:val="22"/>
                <w:szCs w:val="22"/>
              </w:rPr>
              <w:t>δοσίμετρο</w:t>
            </w:r>
            <w:proofErr w:type="spellEnd"/>
            <w:r w:rsidRPr="00122847">
              <w:rPr>
                <w:rFonts w:cs="Arial"/>
                <w:bCs/>
                <w:sz w:val="22"/>
                <w:szCs w:val="22"/>
              </w:rPr>
              <w:t xml:space="preserve"> θα πρέπει να φέρει ειδική και εμφανή σήμανση ώστε να μπορεί να αναγνωρίζει κάθε εκτιθέμενος εργαζόμενος το </w:t>
            </w:r>
            <w:proofErr w:type="spellStart"/>
            <w:r w:rsidRPr="00122847">
              <w:rPr>
                <w:rFonts w:cs="Arial"/>
                <w:bCs/>
                <w:sz w:val="22"/>
                <w:szCs w:val="22"/>
              </w:rPr>
              <w:t>δοσίμετρο</w:t>
            </w:r>
            <w:proofErr w:type="spellEnd"/>
            <w:r w:rsidRPr="00122847">
              <w:rPr>
                <w:rFonts w:cs="Arial"/>
                <w:bCs/>
                <w:sz w:val="22"/>
                <w:szCs w:val="22"/>
              </w:rPr>
              <w:t xml:space="preserve"> που πρέπει να χρησιμοποιήσει.</w:t>
            </w:r>
          </w:p>
          <w:p w:rsidR="00122847" w:rsidRPr="00122847" w:rsidRDefault="00122847" w:rsidP="00122847">
            <w:pPr>
              <w:pStyle w:val="a3"/>
              <w:jc w:val="both"/>
              <w:rPr>
                <w:rFonts w:cs="Arial"/>
                <w:bCs/>
                <w:sz w:val="22"/>
                <w:szCs w:val="22"/>
              </w:rPr>
            </w:pPr>
            <w:r w:rsidRPr="00122847">
              <w:rPr>
                <w:rFonts w:cs="Arial"/>
                <w:bCs/>
                <w:sz w:val="22"/>
                <w:szCs w:val="22"/>
              </w:rPr>
              <w:t xml:space="preserve">Σε κάθε ατομικό </w:t>
            </w:r>
            <w:proofErr w:type="spellStart"/>
            <w:r w:rsidRPr="00122847">
              <w:rPr>
                <w:rFonts w:cs="Arial"/>
                <w:bCs/>
                <w:sz w:val="22"/>
                <w:szCs w:val="22"/>
              </w:rPr>
              <w:t>δοσίμετρο</w:t>
            </w:r>
            <w:proofErr w:type="spellEnd"/>
            <w:r w:rsidRPr="00122847">
              <w:rPr>
                <w:rFonts w:cs="Arial"/>
                <w:bCs/>
                <w:sz w:val="22"/>
                <w:szCs w:val="22"/>
              </w:rPr>
              <w:t xml:space="preserve"> θα πρέπει να αναγράφεται η περίοδος χρήσης του.</w:t>
            </w:r>
          </w:p>
          <w:p w:rsidR="00122847" w:rsidRPr="00122847" w:rsidRDefault="00122847" w:rsidP="00122847">
            <w:pPr>
              <w:pStyle w:val="a3"/>
              <w:jc w:val="both"/>
              <w:rPr>
                <w:rFonts w:cs="Arial"/>
                <w:bCs/>
                <w:sz w:val="22"/>
                <w:szCs w:val="22"/>
              </w:rPr>
            </w:pPr>
            <w:r w:rsidRPr="00122847">
              <w:rPr>
                <w:rFonts w:cs="Arial"/>
                <w:bCs/>
                <w:sz w:val="22"/>
                <w:szCs w:val="22"/>
              </w:rPr>
              <w:t xml:space="preserve">Κάθε ατομικό </w:t>
            </w:r>
            <w:proofErr w:type="spellStart"/>
            <w:r w:rsidRPr="00122847">
              <w:rPr>
                <w:rFonts w:cs="Arial"/>
                <w:bCs/>
                <w:sz w:val="22"/>
                <w:szCs w:val="22"/>
              </w:rPr>
              <w:t>δοσίμετρο</w:t>
            </w:r>
            <w:proofErr w:type="spellEnd"/>
            <w:r w:rsidRPr="00122847">
              <w:rPr>
                <w:rFonts w:cs="Arial"/>
                <w:bCs/>
                <w:sz w:val="22"/>
                <w:szCs w:val="22"/>
              </w:rPr>
              <w:t xml:space="preserve"> ανάλογα με την φύση του υλικού που χρησιμοποιεί για την μέτρηση της δόσης θα πρέπει να τοποθετείται σε  κατάλληλη θήκη ή συσκευασία, η οποία να το προστατεύει από εξωγενείς παράγοντες που θα μπορούσαν να επηρεάσουν τη μέτρηση (π.χ. νερό, υγρασία).</w:t>
            </w:r>
          </w:p>
          <w:p w:rsidR="00122847" w:rsidRPr="00122847" w:rsidRDefault="00122847" w:rsidP="00122847">
            <w:pPr>
              <w:pStyle w:val="a3"/>
              <w:jc w:val="both"/>
              <w:rPr>
                <w:rFonts w:cs="Arial"/>
                <w:bCs/>
                <w:sz w:val="22"/>
                <w:szCs w:val="22"/>
              </w:rPr>
            </w:pPr>
            <w:r w:rsidRPr="00122847">
              <w:rPr>
                <w:rFonts w:cs="Arial"/>
                <w:bCs/>
                <w:sz w:val="22"/>
                <w:szCs w:val="22"/>
              </w:rPr>
              <w:t xml:space="preserve">Κάθε </w:t>
            </w:r>
            <w:proofErr w:type="spellStart"/>
            <w:r w:rsidRPr="00122847">
              <w:rPr>
                <w:rFonts w:cs="Arial"/>
                <w:bCs/>
                <w:sz w:val="22"/>
                <w:szCs w:val="22"/>
              </w:rPr>
              <w:t>δοσίμετρο</w:t>
            </w:r>
            <w:proofErr w:type="spellEnd"/>
            <w:r w:rsidRPr="00122847">
              <w:rPr>
                <w:rFonts w:cs="Arial"/>
                <w:bCs/>
                <w:sz w:val="22"/>
                <w:szCs w:val="22"/>
              </w:rPr>
              <w:t xml:space="preserve"> θα πρέπει να μπορεί να πραγματοποιήσει μετρήσεις  με </w:t>
            </w:r>
            <w:r w:rsidRPr="00122847">
              <w:rPr>
                <w:rFonts w:cs="Arial"/>
                <w:bCs/>
                <w:sz w:val="22"/>
                <w:szCs w:val="22"/>
              </w:rPr>
              <w:lastRenderedPageBreak/>
              <w:t>ικανοποιητική ακρίβεια σε περιβαλλοντικές συνθήκες:</w:t>
            </w:r>
          </w:p>
          <w:p w:rsidR="00122847" w:rsidRPr="00122847" w:rsidRDefault="00122847" w:rsidP="00122847">
            <w:pPr>
              <w:pStyle w:val="a3"/>
              <w:numPr>
                <w:ilvl w:val="1"/>
                <w:numId w:val="24"/>
              </w:numPr>
              <w:jc w:val="both"/>
              <w:rPr>
                <w:rFonts w:cs="Arial"/>
                <w:bCs/>
                <w:sz w:val="22"/>
                <w:szCs w:val="22"/>
              </w:rPr>
            </w:pPr>
            <w:r w:rsidRPr="00122847">
              <w:rPr>
                <w:rFonts w:cs="Arial"/>
                <w:bCs/>
                <w:sz w:val="22"/>
                <w:szCs w:val="22"/>
              </w:rPr>
              <w:t>θερμοκρασίας: -10 °C έως 40 °C</w:t>
            </w:r>
          </w:p>
          <w:p w:rsidR="00122847" w:rsidRPr="00122847" w:rsidRDefault="00122847" w:rsidP="00122847">
            <w:pPr>
              <w:pStyle w:val="a3"/>
              <w:numPr>
                <w:ilvl w:val="1"/>
                <w:numId w:val="24"/>
              </w:numPr>
              <w:jc w:val="both"/>
              <w:rPr>
                <w:rFonts w:cs="Arial"/>
                <w:bCs/>
                <w:sz w:val="22"/>
                <w:szCs w:val="22"/>
              </w:rPr>
            </w:pPr>
            <w:r w:rsidRPr="00122847">
              <w:rPr>
                <w:rFonts w:cs="Arial"/>
                <w:bCs/>
                <w:sz w:val="22"/>
                <w:szCs w:val="22"/>
              </w:rPr>
              <w:t>έκθεσης σε ηλεκτρομαγνητικά πεδία: δεν επηρεάζεται από την έκθεση στο φως και σε ηλεκτρομαγνητικά πεδία μικρότερης συχνότητας.</w:t>
            </w:r>
          </w:p>
          <w:p w:rsidR="00122847" w:rsidRPr="00122847" w:rsidRDefault="00122847" w:rsidP="00122847">
            <w:pPr>
              <w:pStyle w:val="a3"/>
              <w:jc w:val="both"/>
              <w:rPr>
                <w:rFonts w:cs="Arial"/>
                <w:bCs/>
                <w:sz w:val="22"/>
                <w:szCs w:val="22"/>
              </w:rPr>
            </w:pPr>
            <w:r w:rsidRPr="00122847">
              <w:rPr>
                <w:rFonts w:cs="Arial"/>
                <w:bCs/>
                <w:sz w:val="22"/>
                <w:szCs w:val="22"/>
              </w:rPr>
              <w:t xml:space="preserve">Κάθε ατομικό </w:t>
            </w:r>
            <w:proofErr w:type="spellStart"/>
            <w:r w:rsidRPr="00122847">
              <w:rPr>
                <w:rFonts w:cs="Arial"/>
                <w:bCs/>
                <w:sz w:val="22"/>
                <w:szCs w:val="22"/>
              </w:rPr>
              <w:t>δοσίμετρο</w:t>
            </w:r>
            <w:proofErr w:type="spellEnd"/>
            <w:r w:rsidRPr="00122847">
              <w:rPr>
                <w:rFonts w:cs="Arial"/>
                <w:bCs/>
                <w:sz w:val="22"/>
                <w:szCs w:val="22"/>
              </w:rPr>
              <w:t xml:space="preserve"> θα πρέπει να μην επηρεάζεται από μηχανικές κακώσεις λόγω πτώσης από ύψος έως και 2 μέτρα.</w:t>
            </w: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 xml:space="preserve">Τέλος στην τεχνική προσφορά θα πρέπει να  δηλώνονται ρητά τα παρακάτω: </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ο τύπος των προσφερόμενων </w:t>
            </w:r>
            <w:proofErr w:type="spellStart"/>
            <w:r w:rsidRPr="00122847">
              <w:rPr>
                <w:rFonts w:cs="Arial"/>
                <w:bCs/>
                <w:sz w:val="22"/>
                <w:szCs w:val="22"/>
              </w:rPr>
              <w:t>δοσιμέτρων</w:t>
            </w:r>
            <w:proofErr w:type="spellEnd"/>
            <w:r w:rsidRPr="00122847">
              <w:rPr>
                <w:rFonts w:cs="Arial"/>
                <w:bCs/>
                <w:sz w:val="22"/>
                <w:szCs w:val="22"/>
              </w:rPr>
              <w:t xml:space="preserve"> (</w:t>
            </w:r>
            <w:proofErr w:type="spellStart"/>
            <w:r w:rsidRPr="00122847">
              <w:rPr>
                <w:rFonts w:cs="Arial"/>
                <w:bCs/>
                <w:sz w:val="22"/>
                <w:szCs w:val="22"/>
              </w:rPr>
              <w:t>δοσίμετρο</w:t>
            </w:r>
            <w:proofErr w:type="spellEnd"/>
            <w:r w:rsidRPr="00122847">
              <w:rPr>
                <w:rFonts w:cs="Arial"/>
                <w:bCs/>
                <w:sz w:val="22"/>
                <w:szCs w:val="22"/>
              </w:rPr>
              <w:t xml:space="preserve"> σώματος, καρπού, δακτύλου, φακού οφθαλμού κλπ.) </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η τεχνολογία </w:t>
            </w:r>
            <w:proofErr w:type="spellStart"/>
            <w:r w:rsidRPr="00122847">
              <w:rPr>
                <w:rFonts w:cs="Arial"/>
                <w:bCs/>
                <w:sz w:val="22"/>
                <w:szCs w:val="22"/>
              </w:rPr>
              <w:t>δοσιμέτρησης</w:t>
            </w:r>
            <w:proofErr w:type="spellEnd"/>
            <w:r w:rsidRPr="00122847">
              <w:rPr>
                <w:rFonts w:cs="Arial"/>
                <w:bCs/>
                <w:sz w:val="22"/>
                <w:szCs w:val="22"/>
              </w:rPr>
              <w:t xml:space="preserve"> (TLD, OSL, φιλμ, κλπ.), </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το είδος της μετρούμενης ακτινοβολίας (βήτα, </w:t>
            </w:r>
            <w:proofErr w:type="spellStart"/>
            <w:r w:rsidRPr="00122847">
              <w:rPr>
                <w:rFonts w:cs="Arial"/>
                <w:bCs/>
                <w:sz w:val="22"/>
                <w:szCs w:val="22"/>
              </w:rPr>
              <w:t>γάμμα</w:t>
            </w:r>
            <w:proofErr w:type="spellEnd"/>
            <w:r w:rsidRPr="00122847">
              <w:rPr>
                <w:rFonts w:cs="Arial"/>
                <w:bCs/>
                <w:sz w:val="22"/>
                <w:szCs w:val="22"/>
              </w:rPr>
              <w:t>, νετρόνια)</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το εύρος των ενεργειών</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το εύρος της μετρούμενης δόσης</w:t>
            </w: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Προσφερόμενα είδη/υπηρεσίες διαγωνισμού:</w:t>
            </w:r>
          </w:p>
          <w:p w:rsidR="00122847" w:rsidRPr="00122847" w:rsidRDefault="00122847" w:rsidP="00122847">
            <w:pPr>
              <w:pStyle w:val="a3"/>
              <w:numPr>
                <w:ilvl w:val="0"/>
                <w:numId w:val="23"/>
              </w:numPr>
              <w:jc w:val="both"/>
              <w:rPr>
                <w:rFonts w:cs="Arial"/>
                <w:bCs/>
                <w:sz w:val="22"/>
                <w:szCs w:val="22"/>
              </w:rPr>
            </w:pPr>
            <w:r w:rsidRPr="00122847">
              <w:rPr>
                <w:rFonts w:cs="Arial"/>
                <w:bCs/>
                <w:sz w:val="22"/>
                <w:szCs w:val="22"/>
              </w:rPr>
              <w:t xml:space="preserve">Μέτρηση ατομικών </w:t>
            </w:r>
            <w:proofErr w:type="spellStart"/>
            <w:r w:rsidRPr="00122847">
              <w:rPr>
                <w:rFonts w:cs="Arial"/>
                <w:bCs/>
                <w:sz w:val="22"/>
                <w:szCs w:val="22"/>
              </w:rPr>
              <w:t>δοσιμέτρων</w:t>
            </w:r>
            <w:proofErr w:type="spellEnd"/>
            <w:r w:rsidRPr="00122847">
              <w:rPr>
                <w:rFonts w:cs="Arial"/>
                <w:bCs/>
                <w:sz w:val="22"/>
                <w:szCs w:val="22"/>
              </w:rPr>
              <w:t xml:space="preserve"> σώματος</w:t>
            </w:r>
          </w:p>
          <w:p w:rsidR="00122847" w:rsidRPr="00122847" w:rsidRDefault="00122847" w:rsidP="00122847">
            <w:pPr>
              <w:pStyle w:val="a3"/>
              <w:numPr>
                <w:ilvl w:val="0"/>
                <w:numId w:val="23"/>
              </w:numPr>
              <w:jc w:val="both"/>
              <w:rPr>
                <w:rFonts w:cs="Arial"/>
                <w:bCs/>
                <w:sz w:val="22"/>
                <w:szCs w:val="22"/>
              </w:rPr>
            </w:pPr>
            <w:r w:rsidRPr="00122847">
              <w:rPr>
                <w:rFonts w:cs="Arial"/>
                <w:bCs/>
                <w:sz w:val="22"/>
                <w:szCs w:val="22"/>
              </w:rPr>
              <w:t xml:space="preserve">Μέτρηση ατομικών </w:t>
            </w:r>
            <w:proofErr w:type="spellStart"/>
            <w:r w:rsidRPr="00122847">
              <w:rPr>
                <w:rFonts w:cs="Arial"/>
                <w:bCs/>
                <w:sz w:val="22"/>
                <w:szCs w:val="22"/>
              </w:rPr>
              <w:t>δοσιμέτρων</w:t>
            </w:r>
            <w:proofErr w:type="spellEnd"/>
            <w:r w:rsidRPr="00122847">
              <w:rPr>
                <w:rFonts w:cs="Arial"/>
                <w:bCs/>
                <w:sz w:val="22"/>
                <w:szCs w:val="22"/>
              </w:rPr>
              <w:t xml:space="preserve"> σώματος, για χρήση εντός προστατευτικής ποδιάς</w:t>
            </w: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Ο προσφέρων θα πρέπει να περιλαμβάνει στην προσφορά του και τα δύο παραπάνω είδη και να αναφέρει την τιμή κάθε είδους ξεχωριστά.</w:t>
            </w: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 xml:space="preserve">Επιπλέον κάθε υπηρεσία μέτρησης </w:t>
            </w:r>
            <w:proofErr w:type="spellStart"/>
            <w:r w:rsidRPr="00122847">
              <w:rPr>
                <w:rFonts w:cs="Arial"/>
                <w:bCs/>
                <w:sz w:val="22"/>
                <w:szCs w:val="22"/>
              </w:rPr>
              <w:t>δοσιμέτρων</w:t>
            </w:r>
            <w:proofErr w:type="spellEnd"/>
            <w:r w:rsidRPr="00122847">
              <w:rPr>
                <w:rFonts w:cs="Arial"/>
                <w:bCs/>
                <w:sz w:val="22"/>
                <w:szCs w:val="22"/>
              </w:rPr>
              <w:t xml:space="preserve"> 1 και 2 συνδέεται με τις παρακάτω έκτακτες ή πάγιες χρεώσεις:</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Χρέωση νέου </w:t>
            </w:r>
            <w:proofErr w:type="spellStart"/>
            <w:r w:rsidRPr="00122847">
              <w:rPr>
                <w:rFonts w:cs="Arial"/>
                <w:bCs/>
                <w:sz w:val="22"/>
                <w:szCs w:val="22"/>
              </w:rPr>
              <w:t>δοσιμέτρου</w:t>
            </w:r>
            <w:proofErr w:type="spellEnd"/>
            <w:r w:rsidRPr="00122847">
              <w:rPr>
                <w:rFonts w:cs="Arial"/>
                <w:bCs/>
                <w:sz w:val="22"/>
                <w:szCs w:val="22"/>
              </w:rPr>
              <w:t>,</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Χρέωση μη επιστρεφόμενου </w:t>
            </w:r>
            <w:proofErr w:type="spellStart"/>
            <w:r w:rsidRPr="00122847">
              <w:rPr>
                <w:rFonts w:cs="Arial"/>
                <w:bCs/>
                <w:sz w:val="22"/>
                <w:szCs w:val="22"/>
              </w:rPr>
              <w:t>δοσιμέτρου</w:t>
            </w:r>
            <w:proofErr w:type="spellEnd"/>
            <w:r w:rsidRPr="00122847">
              <w:rPr>
                <w:rFonts w:cs="Arial"/>
                <w:bCs/>
                <w:sz w:val="22"/>
                <w:szCs w:val="22"/>
              </w:rPr>
              <w:t xml:space="preserve">, </w:t>
            </w:r>
          </w:p>
          <w:p w:rsidR="00122847" w:rsidRPr="00122847" w:rsidRDefault="00122847" w:rsidP="00122847">
            <w:pPr>
              <w:pStyle w:val="a3"/>
              <w:numPr>
                <w:ilvl w:val="0"/>
                <w:numId w:val="22"/>
              </w:numPr>
              <w:jc w:val="both"/>
              <w:rPr>
                <w:rFonts w:cs="Arial"/>
                <w:bCs/>
                <w:sz w:val="22"/>
                <w:szCs w:val="22"/>
              </w:rPr>
            </w:pPr>
            <w:r w:rsidRPr="00122847">
              <w:rPr>
                <w:rFonts w:cs="Arial"/>
                <w:bCs/>
                <w:sz w:val="22"/>
                <w:szCs w:val="22"/>
              </w:rPr>
              <w:t xml:space="preserve">Χρέωση κατεστραμμένου </w:t>
            </w:r>
            <w:proofErr w:type="spellStart"/>
            <w:r w:rsidRPr="00122847">
              <w:rPr>
                <w:rFonts w:cs="Arial"/>
                <w:bCs/>
                <w:sz w:val="22"/>
                <w:szCs w:val="22"/>
              </w:rPr>
              <w:t>δοσιμέτρου</w:t>
            </w:r>
            <w:proofErr w:type="spellEnd"/>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ΠΡΟΫΠΟΛΟΓΙΣΜΟΣ ΔΑΠΑΝΗΣ</w:t>
            </w:r>
          </w:p>
          <w:p w:rsidR="00122847" w:rsidRPr="00122847" w:rsidRDefault="00122847" w:rsidP="00122847">
            <w:pPr>
              <w:pStyle w:val="a3"/>
              <w:jc w:val="both"/>
              <w:rPr>
                <w:rFonts w:cs="Arial"/>
                <w:bCs/>
                <w:sz w:val="22"/>
                <w:szCs w:val="22"/>
              </w:rPr>
            </w:pPr>
          </w:p>
          <w:p w:rsidR="00122847" w:rsidRPr="00122847" w:rsidRDefault="00122847" w:rsidP="00122847">
            <w:pPr>
              <w:pStyle w:val="a3"/>
              <w:jc w:val="both"/>
              <w:rPr>
                <w:rFonts w:cs="Arial"/>
                <w:bCs/>
                <w:sz w:val="22"/>
                <w:szCs w:val="22"/>
              </w:rPr>
            </w:pPr>
            <w:r w:rsidRPr="00122847">
              <w:rPr>
                <w:rFonts w:cs="Arial"/>
                <w:bCs/>
                <w:sz w:val="22"/>
                <w:szCs w:val="22"/>
              </w:rPr>
              <w:t xml:space="preserve">Το νοσοκομείο χρειάζεται 70 </w:t>
            </w:r>
            <w:proofErr w:type="spellStart"/>
            <w:r w:rsidRPr="00122847">
              <w:rPr>
                <w:rFonts w:cs="Arial"/>
                <w:bCs/>
                <w:sz w:val="22"/>
                <w:szCs w:val="22"/>
              </w:rPr>
              <w:t>δοσίμετρα</w:t>
            </w:r>
            <w:proofErr w:type="spellEnd"/>
            <w:r w:rsidRPr="00122847">
              <w:rPr>
                <w:rFonts w:cs="Arial"/>
                <w:bCs/>
                <w:sz w:val="22"/>
                <w:szCs w:val="22"/>
              </w:rPr>
              <w:t xml:space="preserve"> το μήνα για διάστημα ενός έτους. </w:t>
            </w:r>
            <w:r w:rsidRPr="00122847">
              <w:rPr>
                <w:rFonts w:cs="Arial"/>
                <w:bCs/>
                <w:sz w:val="22"/>
                <w:szCs w:val="22"/>
              </w:rPr>
              <w:lastRenderedPageBreak/>
              <w:t xml:space="preserve">Υπολογίζοντας 4€ ανά </w:t>
            </w:r>
            <w:proofErr w:type="spellStart"/>
            <w:r w:rsidRPr="00122847">
              <w:rPr>
                <w:rFonts w:cs="Arial"/>
                <w:bCs/>
                <w:sz w:val="22"/>
                <w:szCs w:val="22"/>
              </w:rPr>
              <w:t>δοσίμετρο</w:t>
            </w:r>
            <w:proofErr w:type="spellEnd"/>
            <w:r w:rsidRPr="00122847">
              <w:rPr>
                <w:rFonts w:cs="Arial"/>
                <w:bCs/>
                <w:sz w:val="22"/>
                <w:szCs w:val="22"/>
              </w:rPr>
              <w:t xml:space="preserve"> ανά μήνα, η συνολική προϋπολογισθείσα δαπάνη ανέρχεται σε 70x12x4= 3.360,00€ πλέον ΦΠΑ.</w:t>
            </w:r>
          </w:p>
          <w:p w:rsidR="00122847" w:rsidRPr="00122847" w:rsidRDefault="00122847" w:rsidP="00122847">
            <w:pPr>
              <w:pStyle w:val="a3"/>
              <w:jc w:val="both"/>
              <w:rPr>
                <w:rFonts w:cs="Arial"/>
                <w:bCs/>
                <w:sz w:val="22"/>
                <w:szCs w:val="22"/>
              </w:rPr>
            </w:pPr>
          </w:p>
          <w:p w:rsidR="00472EC5" w:rsidRPr="00122847" w:rsidRDefault="00472EC5" w:rsidP="00122847">
            <w:pPr>
              <w:pStyle w:val="a3"/>
              <w:jc w:val="both"/>
              <w:rPr>
                <w:rFonts w:cs="Arial"/>
                <w:sz w:val="22"/>
                <w:szCs w:val="22"/>
              </w:rPr>
            </w:pP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lastRenderedPageBreak/>
              <w:t>ΝΑΙ</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r>
    </w:tbl>
    <w:p w:rsidR="00472EC5" w:rsidRPr="00122847" w:rsidRDefault="00472EC5" w:rsidP="00122847">
      <w:pPr>
        <w:pStyle w:val="a3"/>
        <w:jc w:val="both"/>
        <w:rPr>
          <w:rFonts w:cs="Arial"/>
          <w:sz w:val="22"/>
          <w:szCs w:val="22"/>
        </w:rPr>
      </w:pPr>
      <w:r w:rsidRPr="00122847">
        <w:rPr>
          <w:rFonts w:cs="Arial"/>
          <w:sz w:val="22"/>
          <w:szCs w:val="22"/>
        </w:rPr>
        <w:lastRenderedPageBreak/>
        <w:t xml:space="preserve">Τα αναγραφόμενα στον πίνακα συμμόρφωσης, </w:t>
      </w:r>
      <w:r w:rsidRPr="00122847">
        <w:rPr>
          <w:rFonts w:cs="Arial"/>
          <w:bCs/>
          <w:sz w:val="22"/>
          <w:szCs w:val="22"/>
        </w:rPr>
        <w:t xml:space="preserve">στον οποίο περιγράφεται αναλυτικά το προσφερόμενο είδος </w:t>
      </w:r>
      <w:r w:rsidRPr="00122847">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122847">
        <w:rPr>
          <w:rFonts w:cs="Arial"/>
          <w:sz w:val="22"/>
          <w:szCs w:val="22"/>
        </w:rPr>
        <w:t>prospectus</w:t>
      </w:r>
      <w:proofErr w:type="spellEnd"/>
      <w:r w:rsidRPr="00122847">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122847">
        <w:rPr>
          <w:rFonts w:cs="Arial"/>
          <w:sz w:val="22"/>
          <w:szCs w:val="22"/>
        </w:rPr>
        <w:t>κ.λ.π</w:t>
      </w:r>
      <w:proofErr w:type="spellEnd"/>
      <w:r w:rsidRPr="00122847">
        <w:rPr>
          <w:rFonts w:cs="Arial"/>
          <w:sz w:val="22"/>
          <w:szCs w:val="22"/>
        </w:rPr>
        <w:t xml:space="preserve">.), χωρίς τεκμηρίωση και πλήρη παραπομπή – αντιστοιχία, μεταξύ κειμένου ανά παράγραφο και </w:t>
      </w:r>
      <w:proofErr w:type="spellStart"/>
      <w:r w:rsidRPr="00122847">
        <w:rPr>
          <w:rFonts w:cs="Arial"/>
          <w:sz w:val="22"/>
          <w:szCs w:val="22"/>
        </w:rPr>
        <w:t>prospectus</w:t>
      </w:r>
      <w:proofErr w:type="spellEnd"/>
      <w:r w:rsidRPr="00122847">
        <w:rPr>
          <w:rFonts w:cs="Arial"/>
          <w:sz w:val="22"/>
          <w:szCs w:val="22"/>
        </w:rPr>
        <w:t xml:space="preserve"> θα αποκλείονται</w:t>
      </w:r>
      <w:r w:rsidRPr="00122847">
        <w:rPr>
          <w:rFonts w:cs="Arial"/>
          <w:i/>
          <w:iCs/>
          <w:sz w:val="22"/>
          <w:szCs w:val="22"/>
        </w:rPr>
        <w:t xml:space="preserve">. </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r w:rsidRPr="00122847">
        <w:rPr>
          <w:rFonts w:cs="Arial"/>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122847" w:rsidRDefault="00472EC5" w:rsidP="00122847">
      <w:pPr>
        <w:pStyle w:val="a3"/>
        <w:jc w:val="both"/>
        <w:rPr>
          <w:rFonts w:cs="Arial"/>
          <w:bCs/>
          <w:sz w:val="22"/>
          <w:szCs w:val="22"/>
        </w:rPr>
      </w:pPr>
    </w:p>
    <w:p w:rsidR="00472EC5" w:rsidRPr="00122847" w:rsidRDefault="00472EC5" w:rsidP="00122847">
      <w:pPr>
        <w:pStyle w:val="a3"/>
        <w:jc w:val="both"/>
        <w:rPr>
          <w:rFonts w:cs="Arial"/>
          <w:sz w:val="22"/>
          <w:szCs w:val="22"/>
        </w:rPr>
      </w:pPr>
      <w:r w:rsidRPr="00122847">
        <w:rPr>
          <w:rFonts w:cs="Arial"/>
          <w:bCs/>
          <w:sz w:val="22"/>
          <w:szCs w:val="22"/>
        </w:rPr>
        <w:t xml:space="preserve">1. </w:t>
      </w:r>
      <w:r w:rsidRPr="00122847">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122847" w:rsidRDefault="00472EC5" w:rsidP="00122847">
      <w:pPr>
        <w:pStyle w:val="a3"/>
        <w:jc w:val="both"/>
        <w:rPr>
          <w:rFonts w:cs="Arial"/>
          <w:sz w:val="22"/>
          <w:szCs w:val="22"/>
        </w:rPr>
      </w:pPr>
      <w:r w:rsidRPr="00122847">
        <w:rPr>
          <w:rFonts w:cs="Arial"/>
          <w:bCs/>
          <w:sz w:val="22"/>
          <w:szCs w:val="22"/>
        </w:rPr>
        <w:t xml:space="preserve">2. </w:t>
      </w:r>
      <w:r w:rsidRPr="00122847">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472EC5" w:rsidRPr="00122847" w:rsidRDefault="00472EC5" w:rsidP="00122847">
      <w:pPr>
        <w:pStyle w:val="a3"/>
        <w:jc w:val="both"/>
        <w:rPr>
          <w:rFonts w:cs="Arial"/>
          <w:bCs/>
          <w:sz w:val="22"/>
          <w:szCs w:val="22"/>
        </w:rPr>
      </w:pPr>
      <w:r w:rsidRPr="00122847">
        <w:rPr>
          <w:rFonts w:cs="Arial"/>
          <w:bCs/>
          <w:sz w:val="22"/>
          <w:szCs w:val="22"/>
        </w:rPr>
        <w:t xml:space="preserve">3. </w:t>
      </w:r>
      <w:r w:rsidRPr="00122847">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122847">
        <w:rPr>
          <w:rFonts w:cs="Arial"/>
          <w:bCs/>
          <w:sz w:val="22"/>
          <w:szCs w:val="22"/>
        </w:rPr>
        <w:t xml:space="preserve"> </w:t>
      </w:r>
    </w:p>
    <w:p w:rsidR="00472EC5" w:rsidRPr="00122847"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22847">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122847">
        <w:rPr>
          <w:rFonts w:cs="Arial"/>
          <w:sz w:val="22"/>
          <w:szCs w:val="22"/>
        </w:rPr>
        <w:t>κ.λ.π</w:t>
      </w:r>
      <w:proofErr w:type="spellEnd"/>
      <w:r w:rsidRPr="00122847">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122847">
        <w:rPr>
          <w:rFonts w:cs="Arial"/>
          <w:sz w:val="22"/>
          <w:szCs w:val="22"/>
        </w:rPr>
        <w:t>Προδ</w:t>
      </w:r>
      <w:proofErr w:type="spellEnd"/>
      <w:r w:rsidRPr="00122847">
        <w:rPr>
          <w:rFonts w:cs="Arial"/>
          <w:sz w:val="22"/>
          <w:szCs w:val="22"/>
        </w:rPr>
        <w:t>. 4.18).</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896627">
        <w:rPr>
          <w:rFonts w:cs="Arial"/>
          <w:sz w:val="22"/>
          <w:szCs w:val="22"/>
        </w:rPr>
        <w:t xml:space="preserve">(4) Σε περίπτωση ανεπάρκειας χώρου η δήλωση συνεχίζεται στην πίσω όψη της και υπογράφεται από τον δηλούντα ή την δηλούσα.  </w:t>
      </w:r>
    </w:p>
    <w:p w:rsidR="00896627" w:rsidRDefault="00896627" w:rsidP="00472EC5">
      <w:pPr>
        <w:pStyle w:val="a3"/>
        <w:rPr>
          <w:rFonts w:cs="Arial"/>
          <w:sz w:val="22"/>
          <w:szCs w:val="22"/>
        </w:rPr>
      </w:pPr>
    </w:p>
    <w:p w:rsidR="00472EC5" w:rsidRPr="00472EC5" w:rsidRDefault="00472EC5" w:rsidP="005D3356">
      <w:pPr>
        <w:pStyle w:val="a3"/>
        <w:rPr>
          <w:rFonts w:cs="Arial"/>
          <w:b/>
          <w:sz w:val="22"/>
          <w:szCs w:val="22"/>
        </w:rPr>
      </w:pPr>
    </w:p>
    <w:p w:rsidR="00472EC5" w:rsidRPr="00472EC5" w:rsidRDefault="00472EC5" w:rsidP="005D3356">
      <w:pPr>
        <w:pStyle w:val="a3"/>
        <w:rPr>
          <w:rFonts w:cs="Arial"/>
          <w:b/>
          <w:sz w:val="22"/>
          <w:szCs w:val="22"/>
        </w:rPr>
      </w:pPr>
    </w:p>
    <w:p w:rsidR="00472EC5" w:rsidRPr="00472EC5" w:rsidRDefault="00472EC5" w:rsidP="005D3356">
      <w:pPr>
        <w:pStyle w:val="a3"/>
        <w:rPr>
          <w:rFonts w:cs="Arial"/>
          <w:b/>
          <w:sz w:val="22"/>
          <w:szCs w:val="22"/>
        </w:rPr>
      </w:pP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C5" w:rsidRDefault="00472EC5">
      <w:r>
        <w:separator/>
      </w:r>
    </w:p>
  </w:endnote>
  <w:endnote w:type="continuationSeparator" w:id="0">
    <w:p w:rsidR="00472EC5" w:rsidRDefault="00472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C5" w:rsidRDefault="009E6B67" w:rsidP="003531C7">
    <w:pPr>
      <w:pStyle w:val="a5"/>
      <w:framePr w:wrap="around" w:vAnchor="text" w:hAnchor="margin" w:xAlign="right" w:y="1"/>
      <w:rPr>
        <w:rStyle w:val="a7"/>
      </w:rPr>
    </w:pPr>
    <w:r>
      <w:rPr>
        <w:rStyle w:val="a7"/>
      </w:rPr>
      <w:fldChar w:fldCharType="begin"/>
    </w:r>
    <w:r w:rsidR="00472EC5">
      <w:rPr>
        <w:rStyle w:val="a7"/>
      </w:rPr>
      <w:instrText xml:space="preserve">PAGE  </w:instrText>
    </w:r>
    <w:r>
      <w:rPr>
        <w:rStyle w:val="a7"/>
      </w:rPr>
      <w:fldChar w:fldCharType="end"/>
    </w:r>
  </w:p>
  <w:p w:rsidR="00472EC5" w:rsidRDefault="00472EC5"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C5" w:rsidRDefault="009E6B67" w:rsidP="003531C7">
    <w:pPr>
      <w:pStyle w:val="a5"/>
      <w:framePr w:wrap="around" w:vAnchor="text" w:hAnchor="margin" w:xAlign="right" w:y="1"/>
      <w:rPr>
        <w:rStyle w:val="a7"/>
      </w:rPr>
    </w:pPr>
    <w:r>
      <w:rPr>
        <w:rStyle w:val="a7"/>
      </w:rPr>
      <w:fldChar w:fldCharType="begin"/>
    </w:r>
    <w:r w:rsidR="00472EC5">
      <w:rPr>
        <w:rStyle w:val="a7"/>
      </w:rPr>
      <w:instrText xml:space="preserve">PAGE  </w:instrText>
    </w:r>
    <w:r>
      <w:rPr>
        <w:rStyle w:val="a7"/>
      </w:rPr>
      <w:fldChar w:fldCharType="separate"/>
    </w:r>
    <w:r w:rsidR="003A7E02">
      <w:rPr>
        <w:rStyle w:val="a7"/>
        <w:noProof/>
      </w:rPr>
      <w:t>10</w:t>
    </w:r>
    <w:r>
      <w:rPr>
        <w:rStyle w:val="a7"/>
      </w:rPr>
      <w:fldChar w:fldCharType="end"/>
    </w:r>
  </w:p>
  <w:p w:rsidR="00472EC5" w:rsidRDefault="00472EC5"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C5" w:rsidRDefault="00472EC5">
      <w:r>
        <w:separator/>
      </w:r>
    </w:p>
  </w:footnote>
  <w:footnote w:type="continuationSeparator" w:id="0">
    <w:p w:rsidR="00472EC5" w:rsidRDefault="00472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C5" w:rsidRDefault="00472EC5">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C5" w:rsidRDefault="00472EC5">
    <w:pPr>
      <w:pStyle w:val="a3"/>
    </w:pPr>
    <w:r>
      <w:t xml:space="preserve">                                                                      </w:t>
    </w:r>
  </w:p>
  <w:p w:rsidR="00472EC5" w:rsidRDefault="00472EC5">
    <w:pPr>
      <w:pStyle w:val="a3"/>
    </w:pPr>
  </w:p>
  <w:p w:rsidR="00472EC5" w:rsidRDefault="00472EC5">
    <w:pPr>
      <w:pStyle w:val="a3"/>
    </w:pPr>
    <w:r>
      <w:t xml:space="preserve">                                                                                 </w:t>
    </w:r>
  </w:p>
  <w:p w:rsidR="00472EC5" w:rsidRDefault="00472E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3">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7">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19"/>
  </w:num>
  <w:num w:numId="4">
    <w:abstractNumId w:val="17"/>
  </w:num>
  <w:num w:numId="5">
    <w:abstractNumId w:val="12"/>
  </w:num>
  <w:num w:numId="6">
    <w:abstractNumId w:val="13"/>
  </w:num>
  <w:num w:numId="7">
    <w:abstractNumId w:val="20"/>
  </w:num>
  <w:num w:numId="8">
    <w:abstractNumId w:val="18"/>
  </w:num>
  <w:num w:numId="9">
    <w:abstractNumId w:val="15"/>
  </w:num>
  <w:num w:numId="10">
    <w:abstractNumId w:val="9"/>
  </w:num>
  <w:num w:numId="11">
    <w:abstractNumId w:val="5"/>
  </w:num>
  <w:num w:numId="12">
    <w:abstractNumId w:val="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3"/>
  </w:num>
  <w:num w:numId="17">
    <w:abstractNumId w:val="16"/>
  </w:num>
  <w:num w:numId="18">
    <w:abstractNumId w:val="2"/>
  </w:num>
  <w:num w:numId="19">
    <w:abstractNumId w:val="22"/>
  </w:num>
  <w:num w:numId="20">
    <w:abstractNumId w:val="4"/>
  </w:num>
  <w:num w:numId="21">
    <w:abstractNumId w:val="8"/>
  </w:num>
  <w:num w:numId="22">
    <w:abstractNumId w:val="14"/>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21"/>
  </w:hdrShapeDefaults>
  <w:footnotePr>
    <w:footnote w:id="-1"/>
    <w:footnote w:id="0"/>
  </w:footnotePr>
  <w:endnotePr>
    <w:endnote w:id="-1"/>
    <w:endnote w:id="0"/>
  </w:endnotePr>
  <w:compat/>
  <w:rsids>
    <w:rsidRoot w:val="00F60A69"/>
    <w:rsid w:val="00014546"/>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F4FBA"/>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564A"/>
    <w:rsid w:val="003531C7"/>
    <w:rsid w:val="00392559"/>
    <w:rsid w:val="003968F2"/>
    <w:rsid w:val="003A7E02"/>
    <w:rsid w:val="003E0E43"/>
    <w:rsid w:val="003E35F0"/>
    <w:rsid w:val="004144BB"/>
    <w:rsid w:val="00427ED1"/>
    <w:rsid w:val="00430CEB"/>
    <w:rsid w:val="0043305E"/>
    <w:rsid w:val="00445D31"/>
    <w:rsid w:val="0045484B"/>
    <w:rsid w:val="00456AF8"/>
    <w:rsid w:val="00472EC5"/>
    <w:rsid w:val="00475724"/>
    <w:rsid w:val="00481E4F"/>
    <w:rsid w:val="004D007F"/>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5D69"/>
    <w:rsid w:val="005E6413"/>
    <w:rsid w:val="005F2BC2"/>
    <w:rsid w:val="0060030B"/>
    <w:rsid w:val="0061289F"/>
    <w:rsid w:val="006461F3"/>
    <w:rsid w:val="00646AED"/>
    <w:rsid w:val="0065305E"/>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3FFA"/>
    <w:rsid w:val="00950B43"/>
    <w:rsid w:val="00957A6C"/>
    <w:rsid w:val="00977537"/>
    <w:rsid w:val="009935C2"/>
    <w:rsid w:val="00995DE3"/>
    <w:rsid w:val="009A0E84"/>
    <w:rsid w:val="009A73A4"/>
    <w:rsid w:val="009C1CC2"/>
    <w:rsid w:val="009C6BCD"/>
    <w:rsid w:val="009D2D6A"/>
    <w:rsid w:val="009D6DDA"/>
    <w:rsid w:val="009D6EF2"/>
    <w:rsid w:val="009E312F"/>
    <w:rsid w:val="009E3FD6"/>
    <w:rsid w:val="009E6B67"/>
    <w:rsid w:val="009F2803"/>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86D1F"/>
    <w:rsid w:val="00BA2039"/>
    <w:rsid w:val="00BB7E89"/>
    <w:rsid w:val="00BC3384"/>
    <w:rsid w:val="00BF52DC"/>
    <w:rsid w:val="00C10260"/>
    <w:rsid w:val="00C32DD8"/>
    <w:rsid w:val="00C34691"/>
    <w:rsid w:val="00C6100B"/>
    <w:rsid w:val="00C626BC"/>
    <w:rsid w:val="00C62B2D"/>
    <w:rsid w:val="00C70A69"/>
    <w:rsid w:val="00C80589"/>
    <w:rsid w:val="00CB454B"/>
    <w:rsid w:val="00CC2BD3"/>
    <w:rsid w:val="00CE70AA"/>
    <w:rsid w:val="00CF650C"/>
    <w:rsid w:val="00D14A62"/>
    <w:rsid w:val="00D33FA0"/>
    <w:rsid w:val="00D350E5"/>
    <w:rsid w:val="00D56325"/>
    <w:rsid w:val="00D67143"/>
    <w:rsid w:val="00DC1083"/>
    <w:rsid w:val="00E215F9"/>
    <w:rsid w:val="00E5255E"/>
    <w:rsid w:val="00E84907"/>
    <w:rsid w:val="00E96FD3"/>
    <w:rsid w:val="00EA4C64"/>
    <w:rsid w:val="00EB0C29"/>
    <w:rsid w:val="00EB2C62"/>
    <w:rsid w:val="00EC1721"/>
    <w:rsid w:val="00ED22A2"/>
    <w:rsid w:val="00ED68A4"/>
    <w:rsid w:val="00EE7DA6"/>
    <w:rsid w:val="00EF22DA"/>
    <w:rsid w:val="00F3695D"/>
    <w:rsid w:val="00F4576B"/>
    <w:rsid w:val="00F46485"/>
    <w:rsid w:val="00F51224"/>
    <w:rsid w:val="00F60A69"/>
    <w:rsid w:val="00F97C40"/>
    <w:rsid w:val="00FB74BE"/>
    <w:rsid w:val="00FC294E"/>
    <w:rsid w:val="00FC319A"/>
    <w:rsid w:val="00FE53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1993-4063-4724-AF83-F46EF1F8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1956</Words>
  <Characters>12018</Characters>
  <Application>Microsoft Office Word</Application>
  <DocSecurity>0</DocSecurity>
  <Lines>100</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13947</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23</cp:revision>
  <cp:lastPrinted>2025-07-31T10:06:00Z</cp:lastPrinted>
  <dcterms:created xsi:type="dcterms:W3CDTF">2025-07-22T10:58:00Z</dcterms:created>
  <dcterms:modified xsi:type="dcterms:W3CDTF">2025-09-01T10:04:00Z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